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555E46">
        <w:rPr>
          <w:sz w:val="24"/>
          <w:szCs w:val="24"/>
        </w:rPr>
        <w:t>1</w:t>
      </w:r>
      <w:r w:rsidR="003F0E57">
        <w:rPr>
          <w:sz w:val="24"/>
          <w:szCs w:val="24"/>
        </w:rPr>
        <w:t>2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3F0E57">
        <w:rPr>
          <w:sz w:val="24"/>
          <w:szCs w:val="24"/>
        </w:rPr>
        <w:t>26</w:t>
      </w:r>
      <w:r w:rsidR="009A77E9">
        <w:rPr>
          <w:sz w:val="24"/>
          <w:szCs w:val="24"/>
        </w:rPr>
        <w:t xml:space="preserve"> de </w:t>
      </w:r>
      <w:r w:rsidR="00555E46">
        <w:rPr>
          <w:sz w:val="24"/>
          <w:szCs w:val="24"/>
        </w:rPr>
        <w:t>enero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DB7B0D">
        <w:rPr>
          <w:b/>
        </w:rPr>
        <w:t xml:space="preserve">Torneo </w:t>
      </w:r>
      <w:r>
        <w:rPr>
          <w:b/>
        </w:rPr>
        <w:t>Apertura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B7B0D" w:rsidRPr="0047077E" w:rsidTr="00E46D49">
        <w:trPr>
          <w:trHeight w:val="187"/>
        </w:trPr>
        <w:tc>
          <w:tcPr>
            <w:tcW w:w="6237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3F0E57" w:rsidRPr="0047077E" w:rsidTr="00E46D49">
        <w:trPr>
          <w:trHeight w:val="187"/>
        </w:trPr>
        <w:tc>
          <w:tcPr>
            <w:tcW w:w="2410" w:type="dxa"/>
          </w:tcPr>
          <w:p w:rsidR="003F0E57" w:rsidRPr="0047077E" w:rsidRDefault="003F0E57" w:rsidP="00F03FF7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3F0E57" w:rsidRDefault="007A755A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3F0E57" w:rsidRPr="0047077E" w:rsidRDefault="003F0E57" w:rsidP="00F03FF7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3F0E57" w:rsidRDefault="007A755A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3F0E57" w:rsidRPr="0047077E" w:rsidTr="00E46D49">
        <w:trPr>
          <w:trHeight w:val="199"/>
        </w:trPr>
        <w:tc>
          <w:tcPr>
            <w:tcW w:w="2410" w:type="dxa"/>
          </w:tcPr>
          <w:p w:rsidR="003F0E57" w:rsidRPr="0047077E" w:rsidRDefault="003F0E57" w:rsidP="00F03FF7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3F0E57" w:rsidRDefault="007A755A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3F0E57" w:rsidRPr="0047077E" w:rsidRDefault="003F0E57" w:rsidP="00F03FF7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1" w:type="dxa"/>
          </w:tcPr>
          <w:p w:rsidR="003F0E57" w:rsidRDefault="007A755A" w:rsidP="007C4911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3F0E57" w:rsidRPr="0047077E" w:rsidTr="00E46D49">
        <w:trPr>
          <w:trHeight w:val="199"/>
        </w:trPr>
        <w:tc>
          <w:tcPr>
            <w:tcW w:w="2410" w:type="dxa"/>
          </w:tcPr>
          <w:p w:rsidR="003F0E57" w:rsidRPr="0047077E" w:rsidRDefault="003F0E57" w:rsidP="00F03FF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Cafeteros</w:t>
            </w:r>
          </w:p>
        </w:tc>
        <w:tc>
          <w:tcPr>
            <w:tcW w:w="850" w:type="dxa"/>
          </w:tcPr>
          <w:p w:rsidR="003F0E57" w:rsidRDefault="007A755A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3F0E57" w:rsidRPr="0047077E" w:rsidRDefault="003F0E57" w:rsidP="00F03FF7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3F0E57" w:rsidRDefault="007A755A" w:rsidP="000765DC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3F0E57" w:rsidRPr="0047077E" w:rsidTr="00E46D49">
        <w:trPr>
          <w:trHeight w:val="199"/>
        </w:trPr>
        <w:tc>
          <w:tcPr>
            <w:tcW w:w="2410" w:type="dxa"/>
          </w:tcPr>
          <w:p w:rsidR="003F0E57" w:rsidRPr="0047077E" w:rsidRDefault="003F0E57" w:rsidP="00F03FF7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 </w:t>
            </w:r>
          </w:p>
        </w:tc>
        <w:tc>
          <w:tcPr>
            <w:tcW w:w="850" w:type="dxa"/>
          </w:tcPr>
          <w:p w:rsidR="003F0E57" w:rsidRDefault="007A755A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3F0E57" w:rsidRPr="0047077E" w:rsidRDefault="003F0E57" w:rsidP="00F03FF7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3F0E57" w:rsidRDefault="007A755A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3F0E57" w:rsidRPr="0047077E" w:rsidTr="00E46D49">
        <w:trPr>
          <w:trHeight w:val="248"/>
        </w:trPr>
        <w:tc>
          <w:tcPr>
            <w:tcW w:w="2410" w:type="dxa"/>
          </w:tcPr>
          <w:p w:rsidR="003F0E57" w:rsidRDefault="003F0E57" w:rsidP="00F03FF7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</w:tcPr>
          <w:p w:rsidR="003F0E57" w:rsidRDefault="007A755A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3F0E57" w:rsidRDefault="003F0E57" w:rsidP="00F03FF7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</w:tcPr>
          <w:p w:rsidR="003F0E57" w:rsidRDefault="007A755A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3F0E57" w:rsidRPr="0047077E" w:rsidTr="00E46D49">
        <w:trPr>
          <w:trHeight w:val="248"/>
        </w:trPr>
        <w:tc>
          <w:tcPr>
            <w:tcW w:w="2410" w:type="dxa"/>
          </w:tcPr>
          <w:p w:rsidR="003F0E57" w:rsidRDefault="003F0E57" w:rsidP="00F03FF7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3F0E57" w:rsidRDefault="007A755A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3F0E57" w:rsidRDefault="003F0E57" w:rsidP="00F03FF7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3F0E57" w:rsidRDefault="007A755A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532178" w:rsidRPr="0047077E" w:rsidTr="00E46D49">
        <w:trPr>
          <w:trHeight w:val="248"/>
        </w:trPr>
        <w:tc>
          <w:tcPr>
            <w:tcW w:w="2410" w:type="dxa"/>
          </w:tcPr>
          <w:p w:rsidR="00532178" w:rsidRDefault="00E46D49" w:rsidP="00AF0CF1">
            <w:pPr>
              <w:pStyle w:val="NormalWeb"/>
              <w:jc w:val="both"/>
              <w:textAlignment w:val="top"/>
            </w:pPr>
            <w:r>
              <w:t xml:space="preserve">       </w:t>
            </w:r>
            <w:proofErr w:type="spellStart"/>
            <w:r w:rsidR="003F0E57">
              <w:t>Yepronor</w:t>
            </w:r>
            <w:proofErr w:type="spellEnd"/>
          </w:p>
        </w:tc>
        <w:tc>
          <w:tcPr>
            <w:tcW w:w="3827" w:type="dxa"/>
            <w:gridSpan w:val="3"/>
          </w:tcPr>
          <w:p w:rsidR="00532178" w:rsidRDefault="00532178" w:rsidP="00532178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E325F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5" w:rsidRPr="00CC55C6" w:rsidRDefault="00E325F5" w:rsidP="00E31AF8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7A755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</w:tr>
      <w:tr w:rsidR="00E325F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5" w:rsidRPr="00CC55C6" w:rsidRDefault="00E325F5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E325F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5" w:rsidRPr="00CC55C6" w:rsidRDefault="00E325F5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E325F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5" w:rsidRPr="00CC55C6" w:rsidRDefault="00E325F5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</w:tr>
      <w:tr w:rsidR="00E325F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5" w:rsidRDefault="00E325F5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Default="00E325F5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E325F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5" w:rsidRDefault="00E325F5" w:rsidP="00E325F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E325F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5" w:rsidRPr="00CC55C6" w:rsidRDefault="00E325F5" w:rsidP="00E325F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E325F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5" w:rsidRPr="00CC55C6" w:rsidRDefault="00E325F5" w:rsidP="00E325F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E325F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5" w:rsidRPr="00CC55C6" w:rsidRDefault="00E325F5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E325F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5" w:rsidRPr="00CC55C6" w:rsidRDefault="00E325F5" w:rsidP="00E31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E325F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5" w:rsidRPr="00CC55C6" w:rsidRDefault="00E325F5" w:rsidP="00E31A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E325F5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5" w:rsidRPr="00CC55C6" w:rsidRDefault="00E325F5" w:rsidP="009045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E325F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5" w:rsidRPr="00CC55C6" w:rsidRDefault="00E325F5" w:rsidP="009045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5" w:rsidRPr="00CC55C6" w:rsidRDefault="00E325F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914D36" w:rsidRDefault="005B7CA7" w:rsidP="005B7CA7">
      <w:pPr>
        <w:rPr>
          <w:b/>
        </w:rPr>
      </w:pPr>
      <w:r>
        <w:rPr>
          <w:b/>
        </w:rPr>
        <w:t xml:space="preserve">   </w:t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AF0CF1">
        <w:rPr>
          <w:b/>
          <w:u w:val="single"/>
        </w:rPr>
        <w:t>2</w:t>
      </w:r>
      <w:proofErr w:type="gramEnd"/>
      <w:r>
        <w:rPr>
          <w:b/>
          <w:u w:val="single"/>
        </w:rPr>
        <w:t xml:space="preserve"> </w:t>
      </w:r>
      <w:r w:rsidR="003F0E57">
        <w:rPr>
          <w:b/>
          <w:u w:val="single"/>
        </w:rPr>
        <w:t>febr</w:t>
      </w:r>
      <w:r w:rsidR="00A116B6">
        <w:rPr>
          <w:b/>
          <w:u w:val="single"/>
        </w:rPr>
        <w:t>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 xml:space="preserve">Torneo </w:t>
      </w:r>
      <w:r w:rsidR="00532178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175919" w:rsidP="00175919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175919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F0CF1" w:rsidP="00AF0CF1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  <w:r w:rsidR="00555E46">
              <w:t xml:space="preserve"> </w:t>
            </w:r>
          </w:p>
        </w:tc>
        <w:tc>
          <w:tcPr>
            <w:tcW w:w="2250" w:type="dxa"/>
          </w:tcPr>
          <w:p w:rsidR="00A433EB" w:rsidRPr="0047077E" w:rsidRDefault="003F0E57" w:rsidP="003F0E57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3F0E57" w:rsidP="003F0E57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50" w:type="dxa"/>
          </w:tcPr>
          <w:p w:rsidR="00A433EB" w:rsidRPr="0047077E" w:rsidRDefault="003F0E57" w:rsidP="007C3AF1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175919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3F0E57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Honduras</w:t>
            </w:r>
          </w:p>
        </w:tc>
        <w:tc>
          <w:tcPr>
            <w:tcW w:w="2250" w:type="dxa"/>
          </w:tcPr>
          <w:p w:rsidR="00A433EB" w:rsidRPr="0047077E" w:rsidRDefault="003F0E57" w:rsidP="00DB7B0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3F0E57" w:rsidP="007C3AF1">
            <w:pPr>
              <w:pStyle w:val="NormalWeb"/>
              <w:jc w:val="both"/>
              <w:textAlignment w:val="top"/>
            </w:pPr>
            <w:r>
              <w:t>La Perla del Oeste</w:t>
            </w:r>
            <w:r w:rsidR="00AF0CF1">
              <w:t xml:space="preserve"> </w:t>
            </w:r>
          </w:p>
        </w:tc>
        <w:tc>
          <w:tcPr>
            <w:tcW w:w="2250" w:type="dxa"/>
          </w:tcPr>
          <w:p w:rsidR="00A433EB" w:rsidRPr="0047077E" w:rsidRDefault="003F0E57" w:rsidP="00D049CE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17591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3F0E57" w:rsidP="002634ED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A433EB" w:rsidRDefault="003F0E57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3F0E57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250" w:type="dxa"/>
          </w:tcPr>
          <w:p w:rsidR="00DB7B0D" w:rsidRDefault="003F0E57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D049CE" w:rsidRPr="0047077E" w:rsidTr="000B2C2B">
        <w:trPr>
          <w:trHeight w:val="248"/>
        </w:trPr>
        <w:tc>
          <w:tcPr>
            <w:tcW w:w="2494" w:type="dxa"/>
            <w:gridSpan w:val="2"/>
          </w:tcPr>
          <w:p w:rsidR="00D049CE" w:rsidRDefault="007D3546" w:rsidP="007D3546">
            <w:pPr>
              <w:pStyle w:val="NormalWeb"/>
              <w:jc w:val="center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4277" w:type="dxa"/>
            <w:gridSpan w:val="2"/>
          </w:tcPr>
          <w:p w:rsidR="00D049CE" w:rsidRDefault="00D049CE" w:rsidP="002634ED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25F5">
        <w:t>2</w:t>
      </w:r>
      <w:r w:rsidR="003F24ED">
        <w:t>, 1</w:t>
      </w:r>
      <w:r w:rsidR="00E325F5">
        <w:t>4</w:t>
      </w:r>
      <w:r w:rsidR="00B51563">
        <w:t>.</w:t>
      </w:r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A7289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25F5">
        <w:t>4, 18</w:t>
      </w:r>
      <w:r w:rsidR="00F779E0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E325F5" w:rsidRDefault="00305EC4" w:rsidP="00305EC4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E325F5">
        <w:t>5</w:t>
      </w:r>
      <w:r w:rsidR="003F24ED">
        <w:t xml:space="preserve">, </w:t>
      </w:r>
      <w:r w:rsidR="00E325F5">
        <w:t>1</w:t>
      </w:r>
      <w:r w:rsidR="003F24ED">
        <w:t xml:space="preserve">3, </w:t>
      </w:r>
      <w:r w:rsidR="00E325F5">
        <w:t>entrenador,</w:t>
      </w:r>
    </w:p>
    <w:p w:rsidR="001329A3" w:rsidRPr="00305EC4" w:rsidRDefault="00E325F5" w:rsidP="00305EC4">
      <w:pPr>
        <w:ind w:left="2552"/>
        <w:rPr>
          <w:u w:val="single"/>
        </w:rPr>
      </w:pPr>
      <w:r>
        <w:t xml:space="preserve">                                                                 </w:t>
      </w:r>
      <w:r w:rsidR="00F03FF7">
        <w:t xml:space="preserve">          </w:t>
      </w:r>
      <w:r>
        <w:t xml:space="preserve">    </w:t>
      </w:r>
      <w:proofErr w:type="gramStart"/>
      <w:r>
        <w:t>entrenador</w:t>
      </w:r>
      <w:proofErr w:type="gramEnd"/>
      <w:r w:rsidR="003F24ED">
        <w:t xml:space="preserve">,                 </w:t>
      </w:r>
      <w:r>
        <w:t xml:space="preserve">                              </w:t>
      </w: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19259A" w:rsidRPr="00AB7CC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F24ED">
        <w:t xml:space="preserve">6, </w:t>
      </w:r>
      <w:r w:rsidR="00E325F5">
        <w:t>22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>:</w:t>
      </w:r>
      <w:r w:rsidR="00904575">
        <w:t xml:space="preserve"> </w:t>
      </w:r>
      <w:r w:rsidR="00361D5C">
        <w:t>.</w:t>
      </w:r>
      <w:proofErr w:type="gramEnd"/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376CAA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25F5">
        <w:t>2</w:t>
      </w:r>
      <w:r w:rsidR="002B1123">
        <w:t xml:space="preserve">.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624ACA">
        <w:t>15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624ACA" w:rsidRPr="00624ACA" w:rsidRDefault="00624ACA" w:rsidP="00624ACA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E12A0">
        <w:t>22</w:t>
      </w:r>
      <w:r>
        <w:t>.</w:t>
      </w:r>
    </w:p>
    <w:p w:rsidR="0026205F" w:rsidRPr="00624ACA" w:rsidRDefault="00624ACA" w:rsidP="00624ACA">
      <w:pPr>
        <w:numPr>
          <w:ilvl w:val="3"/>
          <w:numId w:val="11"/>
        </w:numPr>
        <w:tabs>
          <w:tab w:val="clear" w:pos="2880"/>
          <w:tab w:val="num" w:pos="2552"/>
        </w:tabs>
        <w:ind w:left="2694" w:hanging="174"/>
        <w:rPr>
          <w:u w:val="single"/>
        </w:rPr>
      </w:pPr>
      <w:r>
        <w:t xml:space="preserve">roja </w:t>
      </w:r>
      <w:r w:rsidR="0026205F">
        <w:t>al</w:t>
      </w:r>
      <w:r w:rsidR="00361D5C">
        <w:t xml:space="preserve"> número de licencia: </w:t>
      </w:r>
      <w:r>
        <w:t>7 (</w:t>
      </w:r>
      <w:proofErr w:type="spellStart"/>
      <w:r>
        <w:t>R.Villagrá</w:t>
      </w:r>
      <w:proofErr w:type="spellEnd"/>
      <w:r>
        <w:t>) por forcejear, para defenderse, con un contrario que le agredió previamente</w:t>
      </w:r>
      <w:r w:rsidR="003F24ED">
        <w:t>.</w:t>
      </w:r>
    </w:p>
    <w:p w:rsidR="00624ACA" w:rsidRPr="00376CAA" w:rsidRDefault="00624ACA" w:rsidP="00624ACA">
      <w:pPr>
        <w:ind w:left="2694"/>
        <w:rPr>
          <w:u w:val="single"/>
        </w:rPr>
      </w:pPr>
      <w:r>
        <w:t>Se le sanciona con dos partidos de suspensión y 12 euros de multa.</w:t>
      </w: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>: 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624ACA">
        <w:t>2, 14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065E5A">
        <w:t>.</w:t>
      </w:r>
      <w:proofErr w:type="gramEnd"/>
    </w:p>
    <w:p w:rsidR="00624ACA" w:rsidRDefault="00624ACA" w:rsidP="00624ACA">
      <w:pPr>
        <w:numPr>
          <w:ilvl w:val="3"/>
          <w:numId w:val="11"/>
        </w:numPr>
        <w:tabs>
          <w:tab w:val="clear" w:pos="2880"/>
          <w:tab w:val="num" w:pos="2552"/>
        </w:tabs>
        <w:ind w:left="2694" w:hanging="174"/>
      </w:pPr>
      <w:r>
        <w:t>roja directa al nº 17 (</w:t>
      </w:r>
      <w:proofErr w:type="spellStart"/>
      <w:r>
        <w:t>Jecu</w:t>
      </w:r>
      <w:proofErr w:type="spellEnd"/>
      <w:r>
        <w:t xml:space="preserve"> </w:t>
      </w:r>
      <w:proofErr w:type="spellStart"/>
      <w:r>
        <w:t>Marius</w:t>
      </w:r>
      <w:proofErr w:type="spellEnd"/>
      <w:r>
        <w:t xml:space="preserve"> </w:t>
      </w:r>
      <w:proofErr w:type="spellStart"/>
      <w:r>
        <w:t>Costel</w:t>
      </w:r>
      <w:proofErr w:type="spellEnd"/>
      <w:r>
        <w:t>) por agredir a un contrario.</w:t>
      </w:r>
    </w:p>
    <w:p w:rsidR="00624ACA" w:rsidRDefault="00624ACA" w:rsidP="00624ACA">
      <w:pPr>
        <w:ind w:left="2694"/>
      </w:pPr>
      <w:r>
        <w:t xml:space="preserve">Se le sanciona con 32 partidos de suspensión y 48 euros de multa. </w:t>
      </w:r>
    </w:p>
    <w:p w:rsidR="007D6A83" w:rsidRDefault="007D6A83" w:rsidP="00624ACA">
      <w:pPr>
        <w:ind w:left="2694"/>
      </w:pPr>
      <w:r>
        <w:t>Además, por ser reincidente (el 23-10-2022 agredió al árbitro) se le añaden 16 partidos adicionales por lo que la suspensión será de 48 partidos.</w:t>
      </w:r>
    </w:p>
    <w:p w:rsidR="00624ACA" w:rsidRDefault="00624ACA" w:rsidP="00624ACA">
      <w:pPr>
        <w:numPr>
          <w:ilvl w:val="3"/>
          <w:numId w:val="11"/>
        </w:numPr>
        <w:tabs>
          <w:tab w:val="clear" w:pos="2880"/>
          <w:tab w:val="num" w:pos="2552"/>
        </w:tabs>
        <w:ind w:left="2694" w:hanging="174"/>
      </w:pPr>
      <w:r>
        <w:t>al Delegado del equipo (</w:t>
      </w:r>
      <w:proofErr w:type="spellStart"/>
      <w:r>
        <w:t>Damian</w:t>
      </w:r>
      <w:proofErr w:type="spellEnd"/>
      <w:r>
        <w:t xml:space="preserve"> </w:t>
      </w:r>
      <w:proofErr w:type="spellStart"/>
      <w:r>
        <w:t>Catalín</w:t>
      </w:r>
      <w:proofErr w:type="spellEnd"/>
      <w:r>
        <w:t>) se le aplica tarjeta roja por haber pedido al árbitro, al final del encuentro, que no reflejase en el Acta lo realmente ocurrido sino que pusiese solamente dos tarjetas amarillas a su jugador.</w:t>
      </w:r>
    </w:p>
    <w:p w:rsidR="00F03FF7" w:rsidRDefault="00F03FF7" w:rsidP="00F03FF7">
      <w:pPr>
        <w:ind w:left="2694"/>
      </w:pPr>
      <w:r>
        <w:t>Esa actuación no es admisible en un Responsable.</w:t>
      </w:r>
    </w:p>
    <w:p w:rsidR="00624ACA" w:rsidRDefault="00F03FF7" w:rsidP="00624ACA">
      <w:pPr>
        <w:ind w:left="2694"/>
      </w:pPr>
      <w:r>
        <w:t>Se le sanciona con 10 partidos de suspensión y 48 euros de multa.</w:t>
      </w:r>
    </w:p>
    <w:p w:rsidR="000A7D2E" w:rsidRDefault="000A7D2E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6A2DA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03FF7">
        <w:t>6, 18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D85BA6" w:rsidRDefault="00D85BA6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6F3371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5A2F9A" w:rsidRDefault="005A2F9A" w:rsidP="000B2C2B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03FF7" w:rsidRDefault="00F03FF7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Ragde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Villagrá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la sanciona con dos partidos de suspensión y 12 euros de multa por forcejear con un contrario que previamente le había agredido.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Damian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(responsable)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6-4-2025 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10 partidos de suspensión y 48 euros de multa por pedir al árbitro, al finalizar el partido, que cambiase la roja sacada a su jugador por dos amarillas.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26-1-2026</w:t>
            </w:r>
          </w:p>
        </w:tc>
      </w:tr>
    </w:tbl>
    <w:p w:rsidR="00960C8D" w:rsidRDefault="00960C8D" w:rsidP="00960C8D">
      <w:pPr>
        <w:rPr>
          <w:b/>
        </w:rPr>
      </w:pPr>
    </w:p>
    <w:p w:rsidR="00C37862" w:rsidRDefault="00C37862" w:rsidP="00C82B4B">
      <w:pPr>
        <w:rPr>
          <w:b/>
        </w:rPr>
      </w:pP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202DC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lastRenderedPageBreak/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BB1" w:rsidRDefault="00610414" w:rsidP="000B2C2B">
            <w:pPr>
              <w:spacing w:before="100" w:after="100"/>
              <w:jc w:val="both"/>
            </w:pPr>
            <w:proofErr w:type="spellStart"/>
            <w:r>
              <w:t>Yepronor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7A755A">
            <w:pPr>
              <w:spacing w:before="100" w:after="100"/>
              <w:jc w:val="center"/>
            </w:pPr>
            <w:r>
              <w:t>1</w:t>
            </w:r>
            <w:r w:rsidR="00812475">
              <w:t>3</w:t>
            </w:r>
            <w:r w:rsidR="007A755A">
              <w:t>8,45</w:t>
            </w:r>
            <w:r>
              <w:t xml:space="preserve"> €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0B2C2B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7A755A">
            <w:pPr>
              <w:spacing w:before="100" w:after="100"/>
              <w:jc w:val="center"/>
            </w:pPr>
            <w:r>
              <w:t>3</w:t>
            </w:r>
            <w:r w:rsidR="007A755A">
              <w:t>76,27</w:t>
            </w:r>
            <w:r>
              <w:t xml:space="preserve"> €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0B2C2B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7A755A" w:rsidP="007A755A">
            <w:pPr>
              <w:spacing w:before="100" w:after="100"/>
              <w:jc w:val="center"/>
            </w:pPr>
            <w:r>
              <w:t>139,71</w:t>
            </w:r>
            <w:r w:rsidR="00610414">
              <w:t xml:space="preserve"> €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0B2C2B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7A755A" w:rsidP="007A755A">
            <w:pPr>
              <w:spacing w:before="100" w:after="100"/>
              <w:jc w:val="center"/>
            </w:pPr>
            <w:r>
              <w:t>218,34</w:t>
            </w:r>
            <w:r w:rsidR="00610414">
              <w:t xml:space="preserve"> €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0B2C2B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7A755A">
            <w:pPr>
              <w:spacing w:before="100" w:after="100"/>
              <w:jc w:val="center"/>
            </w:pPr>
            <w:r>
              <w:t>3</w:t>
            </w:r>
            <w:r w:rsidR="007A755A">
              <w:t>50,96</w:t>
            </w:r>
            <w:r>
              <w:t xml:space="preserve"> €</w:t>
            </w:r>
          </w:p>
        </w:tc>
      </w:tr>
    </w:tbl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692BB1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0C046E" w:rsidRPr="000C046E" w:rsidRDefault="000C046E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shd w:val="clear" w:color="auto" w:fill="FFFFFF"/>
        </w:rPr>
      </w:pPr>
      <w:r w:rsidRPr="000C046E">
        <w:rPr>
          <w:shd w:val="clear" w:color="auto" w:fill="FFFFFF"/>
        </w:rPr>
        <w:t xml:space="preserve">En consecuencia, </w:t>
      </w:r>
      <w:r w:rsidR="007A755A">
        <w:rPr>
          <w:shd w:val="clear" w:color="auto" w:fill="FFFFFF"/>
        </w:rPr>
        <w:t xml:space="preserve">para poder organizar adecuadamente la programación de la jornada, </w:t>
      </w:r>
      <w:r w:rsidRPr="000C046E">
        <w:rPr>
          <w:shd w:val="clear" w:color="auto" w:fill="FFFFFF"/>
        </w:rPr>
        <w:t xml:space="preserve">los equipos que no hayan pagado los importes pendientes actualizados antes del 30-1-2025 </w:t>
      </w:r>
      <w:r w:rsidRPr="000C046E">
        <w:rPr>
          <w:b/>
          <w:shd w:val="clear" w:color="auto" w:fill="FFFFFF"/>
        </w:rPr>
        <w:t>NO PODRÁN JUGAR</w:t>
      </w:r>
      <w:r w:rsidRPr="000C046E">
        <w:rPr>
          <w:shd w:val="clear" w:color="auto" w:fill="FFFFFF"/>
        </w:rPr>
        <w:t xml:space="preserve"> la jornada del </w:t>
      </w:r>
      <w:r w:rsidR="003F0E57">
        <w:rPr>
          <w:shd w:val="clear" w:color="auto" w:fill="FFFFFF"/>
        </w:rPr>
        <w:t>2</w:t>
      </w:r>
      <w:r w:rsidRPr="000C046E">
        <w:rPr>
          <w:shd w:val="clear" w:color="auto" w:fill="FFFFFF"/>
        </w:rPr>
        <w:t xml:space="preserve">-2-2025 ni las posteriores hasta no regularizar su situación. </w:t>
      </w:r>
    </w:p>
    <w:p w:rsidR="00692BB1" w:rsidRDefault="00692BB1" w:rsidP="00692BB1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2024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20-1-2025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B27415">
              <w:rPr>
                <w:b/>
                <w:color w:val="000000"/>
              </w:rPr>
              <w:t>6,00 €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2,00</w:t>
            </w:r>
            <w:r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42,00 €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  <w:r w:rsidRPr="00B27415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>La Perla del Oeste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B2C2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761" w:rsidRDefault="00AF3761">
      <w:r>
        <w:separator/>
      </w:r>
    </w:p>
  </w:endnote>
  <w:endnote w:type="continuationSeparator" w:id="0">
    <w:p w:rsidR="00AF3761" w:rsidRDefault="00AF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F7" w:rsidRDefault="00F03FF7">
    <w:pPr>
      <w:pStyle w:val="Piedepgina"/>
      <w:pBdr>
        <w:bottom w:val="single" w:sz="12" w:space="1" w:color="auto"/>
      </w:pBdr>
    </w:pPr>
  </w:p>
  <w:p w:rsidR="00F03FF7" w:rsidRPr="00B62BB2" w:rsidRDefault="00F03FF7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12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26</w:t>
    </w:r>
    <w:r w:rsidRPr="00B62BB2">
      <w:rPr>
        <w:sz w:val="18"/>
        <w:szCs w:val="18"/>
      </w:rPr>
      <w:t>-</w:t>
    </w:r>
    <w:r>
      <w:rPr>
        <w:sz w:val="18"/>
        <w:szCs w:val="18"/>
      </w:rPr>
      <w:t>1-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Apertura 2024/2025</w:t>
    </w:r>
    <w:r w:rsidRPr="00B62BB2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630395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630395" w:rsidRPr="00B62BB2">
      <w:rPr>
        <w:rStyle w:val="Nmerodepgina"/>
        <w:sz w:val="18"/>
        <w:szCs w:val="18"/>
      </w:rPr>
      <w:fldChar w:fldCharType="separate"/>
    </w:r>
    <w:r w:rsidR="002E12A0">
      <w:rPr>
        <w:rStyle w:val="Nmerodepgina"/>
        <w:noProof/>
        <w:sz w:val="18"/>
        <w:szCs w:val="18"/>
      </w:rPr>
      <w:t>2</w:t>
    </w:r>
    <w:r w:rsidR="00630395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630395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630395" w:rsidRPr="00B62BB2">
      <w:rPr>
        <w:rStyle w:val="Nmerodepgina"/>
        <w:sz w:val="18"/>
        <w:szCs w:val="18"/>
      </w:rPr>
      <w:fldChar w:fldCharType="separate"/>
    </w:r>
    <w:r w:rsidR="002E12A0">
      <w:rPr>
        <w:rStyle w:val="Nmerodepgina"/>
        <w:noProof/>
        <w:sz w:val="18"/>
        <w:szCs w:val="18"/>
      </w:rPr>
      <w:t>7</w:t>
    </w:r>
    <w:r w:rsidR="00630395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761" w:rsidRDefault="00AF3761">
      <w:r>
        <w:separator/>
      </w:r>
    </w:p>
  </w:footnote>
  <w:footnote w:type="continuationSeparator" w:id="0">
    <w:p w:rsidR="00AF3761" w:rsidRDefault="00AF3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64E7"/>
    <w:rsid w:val="00196E9B"/>
    <w:rsid w:val="00197E81"/>
    <w:rsid w:val="00197FBE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2D31"/>
    <w:rsid w:val="00272EC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05EC4"/>
    <w:rsid w:val="00310744"/>
    <w:rsid w:val="00311500"/>
    <w:rsid w:val="00312593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79F"/>
    <w:rsid w:val="003C1D37"/>
    <w:rsid w:val="003C1D50"/>
    <w:rsid w:val="003C1DD5"/>
    <w:rsid w:val="003C2484"/>
    <w:rsid w:val="003C4ED7"/>
    <w:rsid w:val="003C5B0A"/>
    <w:rsid w:val="003C77EB"/>
    <w:rsid w:val="003D02F7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6F13"/>
    <w:rsid w:val="005D7CCF"/>
    <w:rsid w:val="005E0E8B"/>
    <w:rsid w:val="005E0E8E"/>
    <w:rsid w:val="005E0EF8"/>
    <w:rsid w:val="005E175C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0138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618"/>
    <w:rsid w:val="006B2A04"/>
    <w:rsid w:val="006B3228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87FB1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215C"/>
    <w:rsid w:val="00A326F0"/>
    <w:rsid w:val="00A335A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72CD"/>
    <w:rsid w:val="00AD7A56"/>
    <w:rsid w:val="00AE1389"/>
    <w:rsid w:val="00AE3F94"/>
    <w:rsid w:val="00AE3FD2"/>
    <w:rsid w:val="00AE43BB"/>
    <w:rsid w:val="00AE5882"/>
    <w:rsid w:val="00AE6629"/>
    <w:rsid w:val="00AF095B"/>
    <w:rsid w:val="00AF0CF1"/>
    <w:rsid w:val="00AF376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954"/>
    <w:rsid w:val="00B738B0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57C8"/>
    <w:rsid w:val="00C15E85"/>
    <w:rsid w:val="00C16832"/>
    <w:rsid w:val="00C1756F"/>
    <w:rsid w:val="00C17C67"/>
    <w:rsid w:val="00C202BF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1F8"/>
    <w:rsid w:val="00C62E42"/>
    <w:rsid w:val="00C66778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6114"/>
    <w:rsid w:val="00CC78D1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5CD9"/>
    <w:rsid w:val="00D76072"/>
    <w:rsid w:val="00D762EB"/>
    <w:rsid w:val="00D76B18"/>
    <w:rsid w:val="00D7740E"/>
    <w:rsid w:val="00D80C61"/>
    <w:rsid w:val="00D81DAE"/>
    <w:rsid w:val="00D82476"/>
    <w:rsid w:val="00D82FE1"/>
    <w:rsid w:val="00D83AFF"/>
    <w:rsid w:val="00D85BA6"/>
    <w:rsid w:val="00D864B1"/>
    <w:rsid w:val="00D866AC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236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159"/>
    <w:rsid w:val="00DF132B"/>
    <w:rsid w:val="00DF1AE1"/>
    <w:rsid w:val="00DF1ED0"/>
    <w:rsid w:val="00DF3C2B"/>
    <w:rsid w:val="00DF51F6"/>
    <w:rsid w:val="00DF5835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4991"/>
    <w:rsid w:val="00E9627F"/>
    <w:rsid w:val="00E96556"/>
    <w:rsid w:val="00E9713B"/>
    <w:rsid w:val="00E97B21"/>
    <w:rsid w:val="00EA0215"/>
    <w:rsid w:val="00EA08A5"/>
    <w:rsid w:val="00EA10D1"/>
    <w:rsid w:val="00EA1B1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248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255B"/>
    <w:rsid w:val="00FB2C01"/>
    <w:rsid w:val="00FB501E"/>
    <w:rsid w:val="00FB5097"/>
    <w:rsid w:val="00FB5113"/>
    <w:rsid w:val="00FB5674"/>
    <w:rsid w:val="00FB57B3"/>
    <w:rsid w:val="00FB60F5"/>
    <w:rsid w:val="00FB6DBF"/>
    <w:rsid w:val="00FB751F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CD6F9-AE48-4145-B45F-76930AC8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1758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2025-01-27T20:13:00Z</cp:lastPrinted>
  <dcterms:created xsi:type="dcterms:W3CDTF">2025-01-28T17:04:00Z</dcterms:created>
  <dcterms:modified xsi:type="dcterms:W3CDTF">2025-01-28T17:04:00Z</dcterms:modified>
</cp:coreProperties>
</file>